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gif" ContentType="image/gif"/>
  <Default Extension="jpg" ContentType="image/jpg"/>
  <Default Extension="jpeg" ContentType="image/jpeg"/>
  <Default Extension="tif" ContentType="image/t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\.rels><?xml version="1.0" encoding="UTF-8" standalone="yes"?>
<Relationships xmlns="http://schemas.openxmlformats.org/package/2006/relationships">
	<Relationship Id="rId3" Type="http://schemas.openxmlformats.org/officeDocument/2006/relationships/extended-properties" Target="docProps/app.xml"/>
	<Relationship Id="rId2" Type="http://schemas.openxmlformats.org/package/2006/relationships/metadata/core-properties" Target="docProps/core.xml"/>
	<Relationship Id="rId1" Type="http://schemas.openxmlformats.org/officeDocument/2006/relationships/officeDocument" Target="word/document.xml"/>
</Relationships>
</file>

<file path=docProps\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Elsevier</Company>
  <LinksUpToDate>false</LinksUpToDate>
  <CharactersWithSpaces>5</CharactersWithSpaces>
  <SharedDoc>false</SharedDoc>
  <HyperlinksChanged>false</HyperlinksChanged>
  <AppVersion>14.0000</AppVersion>
</Properties>
</file>

<file path=docProps\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 Elsevier</dc:creator>
  <cp:lastModifiedBy>Reed Elsevier</cp:lastModifiedBy>
  <cp:revision>2</cp:revision>
  <dcterms:created xsi:type="dcterms:W3CDTF">2013-01-15T09:05:00Z</dcterms:created>
  <dcterms:modified xsi:type="dcterms:W3CDTF">2013-01-15T09:05:00Z</dcterms:modified>
</cp:coreProperties>
</file>

<file path=docProps\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DocCount">
    <vt:i4>1</vt:i4>
  </property>
  <property fmtid="{D5CDD505-2E9C-101B-9397-08002B2CF9AE}" pid="3" name="LADocumentID:urn:contentItem:5DX1-2VP1-F04K-J105-00000-00">
    <vt:lpwstr>docID::/shared/document|contextualFeaturePermID::1000516</vt:lpwstr>
  </property>
</Properties>
</file>

<file path=word\_rels\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7" Type="http://schemas.openxmlformats.org/officeDocument/2006/relationships/endnotes" Target="endnot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h1" Type="http://schemas.openxmlformats.org/officeDocument/2006/relationships/header" Target="header1.xml"/><Relationship Id="h2" Type="http://schemas.openxmlformats.org/officeDocument/2006/relationships/header" Target="header2.xml"/><Relationship Id="f1" Type="http://schemas.openxmlformats.org/officeDocument/2006/relationships/footer" Target="footer1.xml"/><Relationship Id="f2" Type="http://schemas.openxmlformats.org/officeDocument/2006/relationships/footer" Target="footer2.xml"/></Relationships>
</file>

<file path=word\document.xml><?xml version="1.0" encoding="utf-8"?>
<w:document xmlns:w="http://schemas.openxmlformats.org/wordprocessingml/2006/main" xmlns:ve="http://schemas.openxmlformats.org/markup-compatibility/2006" xmlns:xs="http://www.w3.org/2001/XMLSchema" xmlns:fn="http://www.w3.org/2005/xpath-functions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x="http://schemas.microsoft.com/office/word/2003/2/auxHint" xmlns:wps="http://schemas.microsoft.com/office/word/2010/wordprocessingShape" xmlns:xpp="http://www.sdl.com/xpp" xml:space="preserve">
  <w:body>
    <w:p>
      <w:pPr>
        <w:spacing w:line="260" w:after="0" w:lineRule="exact"/>
        <w:jc w:val="left"/>
        <w:ind w:left="0" w:right="0"/>
      </w:pPr>
      <w:r>
        <w:rPr>
          <w:rStyle w:val="headerChar"/>
        </w:rPr>
        <w:t/>
      </w:r>
      <w:r>
        <w:rPr>
          <w:rFonts w:ascii="Times New Roman" w:hAnsi="Times New Roman" w:cs="Times New Roman"/>
          <w:position w:val="-0"/>
          <w:sz w:val="20"/>
        </w:rPr>
        <w:t> </w:t>
      </w:r>
    </w:p>
    <w:p>
      <w:pPr>
        <w:spacing w:before="320" w:after="0" w:line="360" w:lineRule="exact"/>
        <w:jc w:val="center"/>
        <w:ind w:left="0" w:right="0"/>
      </w:pPr>
      <w:r>
        <w:rPr>
          <w:rStyle w:val="header.1Char"/>
        </w:rPr>
        <w:t/>
      </w:r>
      <w:r>
        <w:rPr>
          <w:b/>
          <w:rFonts w:ascii="Times New Roman" w:hAnsi="Times New Roman" w:cs="Times New Roman"/>
          <w:position w:val="-0"/>
          <w:sz w:val="30"/>
        </w:rPr>
        <w:t>ABC v. Ironshore Specialty Ins. Co.</w:t>
      </w:r>
      <w:r>
        <w:rPr>
          <w:rStyle w:val="headerChar"/>
        </w:rPr>
        <w:t/>
      </w:r>
      <w:r>
        <w:rPr>
          <w:rFonts w:ascii="Times New Roman" w:hAnsi="Times New Roman" w:cs="Times New Roman"/>
          <w:position w:val="-0"/>
          <w:sz w:val="20"/>
        </w:rPr>
        <w:t> </w:t>
      </w:r>
    </w:p>
    <w:p>
      <w:pPr>
        <w:spacing w:before="120" w:after="0" w:line="260" w:lineRule="exact"/>
        <w:jc w:val="center"/>
        <w:ind w:left="0" w:right="0"/>
      </w:pPr>
      <w:r>
        <w:rPr>
          <w:rStyle w:val="headerChar"/>
        </w:rPr>
        <w:t/>
      </w:r>
      <w:r>
        <w:rPr>
          <w:rFonts w:ascii="Times New Roman" w:hAnsi="Times New Roman" w:cs="Times New Roman"/>
          <w:position w:val="-0"/>
          <w:sz w:val="20"/>
        </w:rPr>
        <w:t>United States Court of Appeals for the Second Circuit</w:t>
      </w:r>
    </w:p>
    <w:p>
      <w:pPr>
        <w:spacing w:before="120" w:after="0" w:line="260" w:lineRule="exact"/>
        <w:jc w:val="center"/>
        <w:ind w:left="0" w:right="0"/>
      </w:pPr>
      <w:r>
        <w:rPr>
          <w:rStyle w:val="headerChar"/>
        </w:rPr>
        <w:t/>
      </w:r>
      <w:r>
        <w:rPr>
          <w:rFonts w:ascii="Times New Roman" w:hAnsi="Times New Roman" w:cs="Times New Roman"/>
          <w:position w:val="-0"/>
          <w:sz w:val="20"/>
        </w:rPr>
        <w:t>December 23, 2014, Decided</w:t>
      </w:r>
    </w:p>
    <w:p>
      <w:pPr>
        <w:spacing w:before="120" w:after="0" w:line="260" w:lineRule="exact"/>
        <w:jc w:val="center"/>
        <w:ind w:left="0" w:right="0"/>
      </w:pPr>
      <w:r>
        <w:rPr>
          <w:rStyle w:val="headerChar"/>
        </w:rPr>
        <w:t/>
      </w:r>
      <w:r>
        <w:rPr>
          <w:rFonts w:ascii="Times New Roman" w:hAnsi="Times New Roman" w:cs="Times New Roman"/>
          <w:position w:val="-0"/>
          <w:sz w:val="20"/>
        </w:rPr>
        <w:t>No. 14-0382-cv</w:t>
      </w:r>
    </w:p>
    <w:p>
      <w:pPr>
        <w:spacing w:before="240" w:after="0" w:line="240" w:lineRule="exact"/>
        <w:jc w:val="left"/>
        <w:ind w:left="0" w:right="0"/>
      </w:pPr>
      <w:r>
        <w:rPr>
          <w:rStyle w:val="spanChar"/>
        </w:rPr>
        <w:t/>
      </w:r>
      <w:r>
        <w:rPr>
          <w:b/>
          <w:rFonts w:ascii="Times New Roman" w:hAnsi="Times New Roman" w:cs="Times New Roman"/>
          <w:position w:val="-0"/>
          <w:sz w:val="18"/>
        </w:rPr>
        <w:t>Reporter</w:t>
      </w:r>
      <w:r>
        <w:rPr>
          <w:rStyle w:val="span.1Char"/>
        </w:rPr>
        <w:t/>
      </w:r>
      <w:r>
        <w:rPr>
          <w:rFonts w:ascii="Times New Roman" w:hAnsi="Times New Roman" w:cs="Times New Roman"/>
          <w:position w:val="-0"/>
          <w:sz w:val="18"/>
        </w:rPr>
        <w:t> </w:t>
      </w:r>
    </w:p>
    <w:p>
      <w:pPr>
        <w:spacing w:line="260" w:after="0" w:lineRule="exact"/>
        <w:jc w:val="left"/>
        <w:ind w:left="0" w:right="0"/>
      </w:pPr>
      <w:r>
        <w:rPr>
          <w:rStyle w:val="span.1Char"/>
        </w:rPr>
        <w:t/>
      </w:r>
      <w:r>
        <w:rPr>
          <w:rFonts w:ascii="Times New Roman" w:hAnsi="Times New Roman" w:cs="Times New Roman"/>
          <w:position w:val="-0"/>
          <w:sz w:val="18"/>
        </w:rPr>
        <w:t>2014 U.S. App. LEXIS 24251</w:t>
      </w:r>
      <w:r>
        <w:rPr>
          <w:rStyle w:val="span.2Char"/>
        </w:rPr>
        <w:t/>
      </w:r>
      <w:r>
        <w:rPr>
          <w:rFonts w:ascii="Times New Roman" w:hAnsi="Times New Roman" w:cs="Times New Roman"/>
          <w:position w:val="-0"/>
          <w:sz w:val="20"/>
        </w:rPr>
        <w:t> </w:t>
      </w:r>
    </w:p>
    <w:p>
      <w:pPr>
        <w:spacing w:before="260" w:after="0" w:line="260" w:lineRule="exact"/>
        <w:jc w:val="both"/>
        <w:ind w:left="0" w:right="0"/>
      </w:pPr>
      <w:r>
        <w:rPr>
          <w:rStyle w:val="span.2Char"/>
        </w:rPr>
        <w:t/>
      </w:r>
      <w:r>
        <w:rPr>
          <w:rFonts w:ascii="Times New Roman" w:hAnsi="Times New Roman" w:cs="Times New Roman"/>
          <w:position w:val="-0"/>
          <w:sz w:val="20"/>
        </w:rPr>
        <w:t>ABC, Plaintiff, - v. - IRONSHORE SPECIALTY INSURANCE COMPANY, Petitioner-Appellee, - v. - DEF, Defendant, </w:t>
      </w:r>
      <w:r>
        <w:rPr>
          <w:rStyle w:val="span.2Char"/>
        </w:rPr>
        <w:t/>
      </w:r>
      <w:r>
        <w:rPr>
          <w:rFonts w:ascii="Times New Roman" w:hAnsi="Times New Roman" w:cs="Times New Roman"/>
          <w:position w:val="-0"/>
          <w:sz w:val="20"/>
        </w:rPr>
        <w:t>- v. - EIDOS PARTNERS, LLC, EIDOS III, LLC, EIDOS, IV, LLC, EIDOS DISPLAY, LLC, EIDOS ADVANCED </w:t>
      </w:r>
      <w:r>
        <w:rPr>
          <w:rStyle w:val="span.2Char"/>
        </w:rPr>
        <w:t/>
      </w:r>
      <w:r>
        <w:rPr>
          <w:rFonts w:ascii="Times New Roman" w:hAnsi="Times New Roman" w:cs="Times New Roman"/>
          <w:position w:val="-0"/>
          <w:sz w:val="20"/>
        </w:rPr>
        <w:t>DISPLAY, LLC, KAMDES IP HOLDING, LLC, EIDOS, LLC, Respondents-Appellants.</w:t>
      </w:r>
    </w:p>
    <w:p>
      <w:pPr>
        <w:spacing w:before="260" w:after="0" w:line="260" w:lineRule="exact"/>
        <w:jc w:val="both"/>
        <w:ind w:left="0" w:right="0"/>
      </w:pPr>
      <w:r>
        <w:rPr>
          <w:rStyle w:val="span.3Char"/>
        </w:rPr>
        <w:t/>
      </w:r>
      <w:r>
        <w:rPr>
          <w:b/>
          <w:rFonts w:ascii="Times New Roman" w:hAnsi="Times New Roman" w:cs="Times New Roman"/>
          <w:position w:val="-0"/>
          <w:sz w:val="20"/>
        </w:rPr>
        <w:t>Notice: </w:t>
      </w:r>
      <w:r>
        <w:rPr>
          <w:rStyle w:val="pChar"/>
        </w:rPr>
        <w:t/>
      </w:r>
      <w:r>
        <w:rPr>
          <w:rFonts w:ascii="Times New Roman" w:hAnsi="Times New Roman" w:cs="Times New Roman"/>
          <w:position w:val="-0"/>
          <w:sz w:val="20"/>
        </w:rPr>
        <w:t>PLEASE REFER TO FEDERAL RULES OF APPELLATE PROCEDURE RULE 32.1 GOVERNING THE </w:t>
      </w:r>
      <w:r>
        <w:rPr>
          <w:rStyle w:val="pChar"/>
        </w:rPr>
        <w:t/>
      </w:r>
      <w:r>
        <w:rPr>
          <w:rFonts w:ascii="Times New Roman" w:hAnsi="Times New Roman" w:cs="Times New Roman"/>
          <w:position w:val="-0"/>
          <w:sz w:val="20"/>
        </w:rPr>
        <w:t>CITATION TO UNPUBLISHED OPINIONS.</w:t>
      </w:r>
    </w:p>
    <w:p>
      <w:pPr>
        <w:spacing w:before="260" w:after="0" w:line="260" w:lineRule="exact"/>
        <w:jc w:val="left"/>
        <w:ind w:left="0" w:right="0"/>
      </w:pPr>
      <w:r>
        <w:rPr>
          <w:rStyle w:val="span.3Char"/>
        </w:rPr>
        <w:t/>
      </w:r>
      <w:r>
        <w:rPr>
          <w:b/>
          <w:rFonts w:ascii="Times New Roman" w:hAnsi="Times New Roman" w:cs="Times New Roman"/>
          <w:position w:val="-0"/>
          <w:sz w:val="20"/>
        </w:rPr>
        <w:t>Prior History: </w:t>
      </w:r>
      <w:r>
        <w:rPr>
          <w:rStyle w:val="span.2Char"/>
        </w:rPr>
        <w:t/>
      </w:r>
      <w:r>
        <w:rPr>
          <w:rFonts w:ascii="Times New Roman" w:hAnsi="Times New Roman" w:cs="Times New Roman"/>
          <w:position w:val="-0"/>
          <w:sz w:val="20"/>
        </w:rPr>
        <w:t>Ironshore Specialty Ins. Co. v. Eidos Partners, LLC, 2014 U.S. Dist. LEXIS 8438 (S.D.N.Y., Jan. 17, 2014)</w:t>
      </w:r>
    </w:p>
    <w:p>
      <w:pPr>
        <w:spacing w:before="260" w:after="0" w:line="260" w:lineRule="exact"/>
        <w:jc w:val="both"/>
        <w:ind w:left="0" w:right="0"/>
      </w:pPr>
      <w:r>
        <w:rPr>
          <w:rStyle w:val="span.3Char"/>
        </w:rPr>
        <w:t/>
      </w:r>
      <w:r>
        <w:rPr>
          <w:b/>
          <w:rFonts w:ascii="Times New Roman" w:hAnsi="Times New Roman" w:cs="Times New Roman"/>
          <w:position w:val="-0"/>
          <w:sz w:val="20"/>
        </w:rPr>
        <w:t>Counsel: </w:t>
      </w:r>
      <w:r>
        <w:rPr>
          <w:rStyle w:val="span.4Char"/>
        </w:rPr>
      </w:r>
      <w:r>
        <w:rPr>
          <w:rFonts w:ascii="Times New Roman" w:hAnsi="Times New Roman" w:cs="Times New Roman"/>
          <w:color w:val="#6C6D70"/>
          <w:position w:val="-0"/>
          <w:sz w:val="20"/>
        </w:rPr>
        <w:t> </w:t>
      </w:r>
      <w:r>
        <w:rPr>
          <w:rStyle w:val="span.5Char"/>
        </w:rPr>
      </w:r>
      <w:r>
        <w:rPr>
          <w:rFonts w:ascii="Times New Roman" w:hAnsi="Times New Roman" w:cs="Times New Roman"/>
          <w:color w:val="#6C6D70"/>
          <w:position w:val="-0"/>
          <w:sz w:val="18"/>
        </w:rPr>
        <w:t>[*1] </w:t>
      </w:r>
      <w:r>
        <w:rPr>
          <w:rStyle w:val="span.6Char"/>
        </w:rPr>
        <w:t/>
      </w:r>
      <w:r>
        <w:rPr>
          <w:rFonts w:ascii="Times New Roman" w:hAnsi="Times New Roman" w:cs="Times New Roman"/>
          <w:position w:val="-0"/>
          <w:sz w:val="20"/>
        </w:rPr>
        <w:t>CHARLES E. DORKEY III (Gaspare J. Bono, on the brief), McKenna Long &amp; Aldridge, Washington, DC, </w:t>
      </w:r>
      <w:r>
        <w:rPr>
          <w:rStyle w:val="span.6Char"/>
        </w:rPr>
        <w:t/>
      </w:r>
      <w:r>
        <w:rPr>
          <w:rFonts w:ascii="Times New Roman" w:hAnsi="Times New Roman" w:cs="Times New Roman"/>
          <w:position w:val="-0"/>
          <w:sz w:val="20"/>
        </w:rPr>
        <w:t>for Respondents-Appellants.</w:t>
      </w:r>
    </w:p>
    <w:p>
      <w:pPr>
        <w:spacing w:before="260" w:after="0" w:line="260" w:lineRule="exact"/>
        <w:jc w:val="left"/>
        <w:ind w:left="0" w:right="0"/>
      </w:pPr>
      <w:r>
        <w:rPr>
          <w:rStyle w:val="span.6Char"/>
        </w:rPr>
        <w:t/>
      </w:r>
      <w:r>
        <w:rPr>
          <w:rFonts w:ascii="Times New Roman" w:hAnsi="Times New Roman" w:cs="Times New Roman"/>
          <w:position w:val="-0"/>
          <w:sz w:val="20"/>
        </w:rPr>
        <w:t>KEVIN J.WINDELS (Peter A. Stroili, on the brief), D'Amato &amp; Lynch, LLP, New York, NY, for Petitioner-Appellee.</w:t>
      </w:r>
    </w:p>
    <w:p>
      <w:pPr>
        <w:spacing w:before="260" w:after="0" w:line="260" w:lineRule="exact"/>
        <w:jc w:val="left"/>
        <w:ind w:left="0" w:right="0"/>
      </w:pPr>
      <w:r>
        <w:rPr>
          <w:rStyle w:val="span.7Char"/>
        </w:rPr>
        <w:t/>
      </w:r>
      <w:r>
        <w:rPr>
          <w:b/>
          <w:rFonts w:ascii="Times New Roman" w:hAnsi="Times New Roman" w:cs="Times New Roman"/>
          <w:position w:val="-0"/>
          <w:sz w:val="20"/>
        </w:rPr>
        <w:t>Judges: </w:t>
      </w:r>
      <w:r>
        <w:rPr>
          <w:rStyle w:val="span.6Char"/>
        </w:rPr>
        <w:t/>
      </w:r>
      <w:r>
        <w:rPr>
          <w:rFonts w:ascii="Times New Roman" w:hAnsi="Times New Roman" w:cs="Times New Roman"/>
          <w:position w:val="-0"/>
          <w:sz w:val="20"/>
        </w:rPr>
        <w:t>PRESENT: GUIDO CALABRESI, BARRINGTON D. PARKER, DEBRA ANN LIVINGSTON, Circuit Judges.</w:t>
      </w:r>
    </w:p>
    <w:p>
      <w:pPr>
        <w:spacing w:before="280" w:after="0" w:line="340" w:lineRule="exact"/>
        <w:jc w:val="left"/>
        <w:ind w:left="0" w:right="0"/>
      </w:pPr>
      <w:r>
        <w:rPr>
          <w:rStyle w:val="h2Char"/>
        </w:rPr>
        <w:t/>
      </w:r>
      <w:r>
        <w:rPr>
          <w:b/>
          <w:rFonts w:ascii="Times New Roman" w:hAnsi="Times New Roman" w:cs="Times New Roman"/>
          <w:position w:val="-0"/>
          <w:sz w:val="28"/>
        </w:rPr>
        <w:t>Opinion</w:t>
      </w:r>
      <w:r>
        <w:pict>
          <v:line style="position:absolute;flip:y;z-index:251659264;visibility:visible;mso-wrap-style:square;mso-width-percent:0;mso-height-percent:0;mso-wrap-distance-left:9pt;mso-wrap-distance-top:4pt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pt,33.5pt" to="492pt,33.5pt" strokecolor="#009DDB" strokeweight="2pt">
            <w10:anchorlock/>
          </v:line>
        </w:pict>
      </w:r>
    </w:p>
    <w:p>
      <w:pPr>
        <w:spacing w:before="260" w:after="0" w:line="260" w:lineRule="exact"/>
        <w:jc w:val="left"/>
        <w:ind w:left="0" w:right="0"/>
      </w:pPr>
      <w:r>
        <w:rPr>
          <w:rStyle w:val="span.3Char"/>
        </w:rPr>
        <w:t/>
      </w:r>
      <w:r>
        <w:rPr>
          <w:b/>
          <w:rFonts w:ascii="Times New Roman" w:hAnsi="Times New Roman" w:cs="Times New Roman"/>
          <w:position w:val="-0"/>
          <w:sz w:val="20"/>
        </w:rPr>
        <w:t>SUMMARY ORDER</w:t>
      </w:r>
    </w:p>
    <w:p>
      <w:pPr>
        <w:spacing w:before="200" w:after="0" w:line="260" w:lineRule="exact"/>
        <w:jc w:val="both"/>
        <w:ind w:left="0" w:right="0"/>
      </w:pPr>
      <w:r>
        <w:rPr>
          <w:rStyle w:val="paraChar"/>
        </w:rPr>
        <w:t/>
      </w:r>
      <w:r>
        <w:rPr>
          <w:b/>
          <w:rFonts w:ascii="Times New Roman" w:hAnsi="Times New Roman" w:cs="Times New Roman"/>
          <w:position w:val="-0"/>
          <w:sz w:val="20"/>
        </w:rPr>
        <w:t>UPON DUE CONSIDERATION</w:t>
      </w:r>
      <w:r>
        <w:rPr>
          <w:rStyle w:val="para.1Char"/>
        </w:rPr>
        <w:t/>
      </w:r>
      <w:r>
        <w:rPr>
          <w:rFonts w:ascii="Times New Roman" w:hAnsi="Times New Roman" w:cs="Times New Roman"/>
          <w:position w:val="-0"/>
          <w:sz w:val="20"/>
        </w:rPr>
        <w:t>, it is hereby </w:t>
      </w:r>
      <w:r>
        <w:rPr>
          <w:rStyle w:val="paraChar"/>
        </w:rPr>
        <w:t/>
      </w:r>
      <w:r>
        <w:rPr>
          <w:b/>
          <w:rFonts w:ascii="Times New Roman" w:hAnsi="Times New Roman" w:cs="Times New Roman"/>
          <w:position w:val="-0"/>
          <w:sz w:val="20"/>
        </w:rPr>
        <w:t>ORDERED, ADJUDGED</w:t>
      </w:r>
      <w:r>
        <w:rPr>
          <w:rStyle w:val="para.1Char"/>
        </w:rPr>
        <w:t/>
      </w:r>
      <w:r>
        <w:rPr>
          <w:rFonts w:ascii="Times New Roman" w:hAnsi="Times New Roman" w:cs="Times New Roman"/>
          <w:position w:val="-0"/>
          <w:sz w:val="20"/>
        </w:rPr>
        <w:t>, and </w:t>
      </w:r>
      <w:r>
        <w:rPr>
          <w:rStyle w:val="paraChar"/>
        </w:rPr>
        <w:t/>
      </w:r>
      <w:r>
        <w:rPr>
          <w:b/>
          <w:rFonts w:ascii="Times New Roman" w:hAnsi="Times New Roman" w:cs="Times New Roman"/>
          <w:position w:val="-0"/>
          <w:sz w:val="20"/>
        </w:rPr>
        <w:t>DECREED</w:t>
      </w:r>
      <w:r>
        <w:rPr>
          <w:rStyle w:val="para.1Char"/>
        </w:rPr>
        <w:t/>
      </w:r>
      <w:r>
        <w:rPr>
          <w:rFonts w:ascii="Times New Roman" w:hAnsi="Times New Roman" w:cs="Times New Roman"/>
          <w:position w:val="-0"/>
          <w:sz w:val="20"/>
        </w:rPr>
        <w:t> that the judgment of the </w:t>
      </w:r>
      <w:r>
        <w:rPr>
          <w:rStyle w:val="para.1Char"/>
        </w:rPr>
        <w:t/>
      </w:r>
      <w:r>
        <w:rPr>
          <w:rFonts w:ascii="Times New Roman" w:hAnsi="Times New Roman" w:cs="Times New Roman"/>
          <w:position w:val="-0"/>
          <w:sz w:val="20"/>
        </w:rPr>
        <w:t>district court is </w:t>
      </w:r>
      <w:r>
        <w:rPr>
          <w:rStyle w:val="paraChar"/>
        </w:rPr>
        <w:t/>
      </w:r>
      <w:r>
        <w:rPr>
          <w:b/>
          <w:rFonts w:ascii="Times New Roman" w:hAnsi="Times New Roman" w:cs="Times New Roman"/>
          <w:position w:val="-0"/>
          <w:sz w:val="20"/>
        </w:rPr>
        <w:t>AFFIRMED</w:t>
      </w:r>
      <w:r>
        <w:rPr>
          <w:rStyle w:val="para.1Char"/>
        </w:rPr>
        <w:t/>
      </w:r>
      <w:r>
        <w:rPr>
          <w:rFonts w:ascii="Times New Roman" w:hAnsi="Times New Roman" w:cs="Times New Roman"/>
          <w:position w:val="-0"/>
          <w:sz w:val="20"/>
        </w:rPr>
        <w:t>.</w:t>
      </w:r>
    </w:p>
    <w:p>
      <w:pPr>
        <w:spacing w:before="200" w:after="0" w:line="260" w:lineRule="exact"/>
        <w:jc w:val="both"/>
        <w:ind w:left="0" w:right="0"/>
      </w:pPr>
      <w:r>
        <w:rPr>
          <w:rStyle w:val="para.1Char"/>
        </w:rPr>
        <w:t/>
      </w:r>
      <w:r>
        <w:rPr>
          <w:rFonts w:ascii="Times New Roman" w:hAnsi="Times New Roman" w:cs="Times New Roman"/>
          <w:position w:val="-0"/>
          <w:sz w:val="20"/>
        </w:rPr>
        <w:t>On November 2, 2010, Eidos Partners, LLC, Eidos Display, LLC, Eidos III, LLC, Eidos IV, LLC, Eidos Advanced Display, </w:t>
      </w:r>
      <w:r>
        <w:rPr>
          <w:rStyle w:val="para.1Char"/>
        </w:rPr>
        <w:t/>
      </w:r>
      <w:r>
        <w:rPr>
          <w:rFonts w:ascii="Times New Roman" w:hAnsi="Times New Roman" w:cs="Times New Roman"/>
          <w:position w:val="-0"/>
          <w:sz w:val="20"/>
        </w:rPr>
        <w:t>LLC and Kamdes IP Holdings, LLC (collectively "Eidos"), obtained a debt facility from Stairway Capital Management II </w:t>
      </w:r>
      <w:r>
        <w:rPr>
          <w:rStyle w:val="para.1Char"/>
        </w:rPr>
        <w:t/>
      </w:r>
      <w:r>
        <w:rPr>
          <w:rFonts w:ascii="Times New Roman" w:hAnsi="Times New Roman" w:cs="Times New Roman"/>
          <w:position w:val="-0"/>
          <w:sz w:val="20"/>
        </w:rPr>
        <w:t>L.P. ("Stairway") in order to fund a patent enforcement litigation program. That same day, Ironshore Specialty Insurance </w:t>
      </w:r>
      <w:r>
        <w:rPr>
          <w:rStyle w:val="para.1Char"/>
        </w:rPr>
        <w:t/>
      </w:r>
      <w:r>
        <w:rPr>
          <w:rFonts w:ascii="Times New Roman" w:hAnsi="Times New Roman" w:cs="Times New Roman"/>
          <w:position w:val="-0"/>
          <w:sz w:val="20"/>
        </w:rPr>
        <w:t>Company ("Ironshore") executed an insurance policy (the "Policy") providing coverage to Eidos in case Eidos did not </w:t>
      </w:r>
      <w:r>
        <w:rPr>
          <w:rStyle w:val="para.1Char"/>
        </w:rPr>
        <w:t/>
      </w:r>
      <w:r>
        <w:rPr>
          <w:rFonts w:ascii="Times New Roman" w:hAnsi="Times New Roman" w:cs="Times New Roman"/>
          <w:position w:val="-0"/>
          <w:sz w:val="20"/>
        </w:rPr>
        <w:t>recoup at least the amount of Stairway's loan through its patent enforcement litigation program. On October 8, 2013, </w:t>
      </w:r>
      <w:r>
        <w:rPr>
          <w:rStyle w:val="para.1Char"/>
        </w:rPr>
        <w:t/>
      </w:r>
      <w:r>
        <w:rPr>
          <w:rFonts w:ascii="Times New Roman" w:hAnsi="Times New Roman" w:cs="Times New Roman"/>
          <w:position w:val="-0"/>
          <w:sz w:val="20"/>
        </w:rPr>
        <w:t>Ironshore served on Eidos a Demand for Arbitration and Statement of Claim. It sought to have the Policy declared void </w:t>
      </w:r>
      <w:r>
        <w:rPr>
          <w:rStyle w:val="para.2Char"/>
        </w:rPr>
        <w:t/>
      </w:r>
      <w:r>
        <w:rPr>
          <w:i/>
          <w:rFonts w:ascii="Times New Roman" w:hAnsi="Times New Roman" w:cs="Times New Roman"/>
          <w:position w:val="-0"/>
          <w:sz w:val="20"/>
        </w:rPr>
        <w:t>ab initio</w:t>
      </w:r>
      <w:r>
        <w:rPr>
          <w:rStyle w:val="para.1Char"/>
        </w:rPr>
        <w:t/>
      </w:r>
      <w:r>
        <w:rPr>
          <w:rFonts w:ascii="Times New Roman" w:hAnsi="Times New Roman" w:cs="Times New Roman"/>
          <w:position w:val="-0"/>
          <w:sz w:val="20"/>
        </w:rPr>
        <w:t> due to alleged misrepresentations</w:t>
      </w:r>
      <w:r>
        <w:rPr>
          <w:rStyle w:val="para.4Char"/>
        </w:rPr>
      </w:r>
      <w:r>
        <w:rPr>
          <w:rFonts w:ascii="Times New Roman" w:hAnsi="Times New Roman" w:cs="Times New Roman"/>
          <w:color w:val="#6C6D70"/>
          <w:position w:val="-0"/>
          <w:sz w:val="18"/>
        </w:rPr>
        <w:t> [*2] </w:t>
      </w:r>
      <w:r>
        <w:rPr>
          <w:rStyle w:val="para.5Char"/>
        </w:rPr>
        <w:t/>
      </w:r>
      <w:r>
        <w:rPr>
          <w:rFonts w:ascii="Times New Roman" w:hAnsi="Times New Roman" w:cs="Times New Roman"/>
          <w:position w:val="-0"/>
          <w:sz w:val="20"/>
        </w:rPr>
        <w:t> made by Eidos and its attorneys, and in the alternative sought a declaratory </w:t>
      </w:r>
      <w:r>
        <w:rPr>
          <w:rStyle w:val="para.5Char"/>
        </w:rPr>
        <w:t/>
      </w:r>
      <w:r>
        <w:rPr>
          <w:rFonts w:ascii="Times New Roman" w:hAnsi="Times New Roman" w:cs="Times New Roman"/>
          <w:position w:val="-0"/>
          <w:sz w:val="20"/>
        </w:rPr>
        <w:t>judgment that no coverage was due under the Policy because no "Covered Event" had occurred. Ironshore made a second </w:t>
      </w:r>
      <w:r>
        <w:rPr>
          <w:rStyle w:val="para.5Char"/>
        </w:rPr>
        <w:t/>
      </w:r>
      <w:r>
        <w:rPr>
          <w:rFonts w:ascii="Times New Roman" w:hAnsi="Times New Roman" w:cs="Times New Roman"/>
          <w:position w:val="-0"/>
          <w:sz w:val="20"/>
        </w:rPr>
        <w:t>argument in the alternative that the limit of liability under the Policy had been reduced.</w:t>
      </w:r>
    </w:p>
    <w:p>
      <w:pPr>
        <w:spacing w:before="200" w:after="0" w:line="260" w:lineRule="exact"/>
        <w:jc w:val="both"/>
        <w:ind w:left="0" w:right="0"/>
      </w:pPr>
      <w:r>
        <w:rPr>
          <w:rStyle w:val="para.5Char"/>
        </w:rPr>
        <w:t/>
      </w:r>
      <w:r>
        <w:rPr>
          <w:rFonts w:ascii="Times New Roman" w:hAnsi="Times New Roman" w:cs="Times New Roman"/>
          <w:position w:val="-0"/>
          <w:sz w:val="20"/>
        </w:rPr>
        <w:t>On November 26, Ironshore filed a petition in the United States District Court for the Southern District of New York to </w:t>
      </w:r>
      <w:r>
        <w:rPr>
          <w:rStyle w:val="para.5Char"/>
        </w:rPr>
        <w:t/>
      </w:r>
      <w:r>
        <w:rPr>
          <w:rFonts w:ascii="Times New Roman" w:hAnsi="Times New Roman" w:cs="Times New Roman"/>
          <w:position w:val="-0"/>
          <w:sz w:val="20"/>
        </w:rPr>
        <w:t>compel Eidos to arbitrate the dispute. In response, Eidos acknowledged that the dispute was governed by the Policy's </w:t>
      </w:r>
      <w:r>
        <w:rPr>
          <w:rStyle w:val="para.5Char"/>
        </w:rPr>
        <w:t/>
      </w:r>
      <w:r>
        <w:rPr>
          <w:rFonts w:ascii="Times New Roman" w:hAnsi="Times New Roman" w:cs="Times New Roman"/>
          <w:position w:val="-0"/>
          <w:sz w:val="20"/>
        </w:rPr>
        <w:t>dispute resolution provision providing for mandatory arbitration, but argued that arbitration was premature because the </w:t>
      </w:r>
      <w:r>
        <w:rPr>
          <w:rStyle w:val="para.5Char"/>
        </w:rPr>
        <w:t/>
      </w:r>
      <w:r>
        <w:rPr>
          <w:rFonts w:ascii="Times New Roman" w:hAnsi="Times New Roman" w:cs="Times New Roman"/>
          <w:position w:val="-0"/>
          <w:sz w:val="20"/>
        </w:rPr>
        <w:t>parties had not yet engaged in a reconciliation meeting. Eidos declared:</w:t>
      </w:r>
    </w:p>
    <w:p>
      <w:pPr>
        <w:spacing w:before="240" w:after="0" w:line="260" w:lineRule="exact"/>
        <w:jc w:val="both"/>
        <w:ind w:left="360" w:right="360"/>
      </w:pPr>
      <w:r>
        <w:rPr>
          <w:rStyle w:val="para.5Char"/>
        </w:rPr>
        <w:t/>
      </w:r>
      <w:r>
        <w:rPr>
          <w:rFonts w:ascii="Times New Roman" w:hAnsi="Times New Roman" w:cs="Times New Roman"/>
          <w:position w:val="-0"/>
          <w:sz w:val="20"/>
        </w:rPr>
        <w:t>The Policy unquestionably provides a three-step process for any disputes that arise in connection the [sic] Policy, </w:t>
      </w:r>
      <w:r>
        <w:rPr>
          <w:rStyle w:val="para.5Char"/>
        </w:rPr>
        <w:t/>
      </w:r>
      <w:r>
        <w:rPr>
          <w:rFonts w:ascii="Times New Roman" w:hAnsi="Times New Roman" w:cs="Times New Roman"/>
          <w:position w:val="-0"/>
          <w:sz w:val="20"/>
        </w:rPr>
        <w:t>namely: (1) reconciliation of outstanding issues on amount of loss, (2) non-binding mediation, and then (3) </w:t>
      </w:r>
      <w:r>
        <w:rPr>
          <w:rStyle w:val="para.5Char"/>
        </w:rPr>
        <w:t/>
      </w:r>
      <w:r>
        <w:rPr>
          <w:rFonts w:ascii="Times New Roman" w:hAnsi="Times New Roman" w:cs="Times New Roman"/>
          <w:position w:val="-0"/>
          <w:sz w:val="20"/>
        </w:rPr>
        <w:t>arbitration before the American Arbitration Association ('AAA').</w:t>
      </w:r>
    </w:p>
    <w:p>
      <w:pPr>
        <w:spacing w:before="240" w:after="0" w:line="260" w:lineRule="exact"/>
        <w:jc w:val="left"/>
        <w:ind w:left="0" w:right="0"/>
      </w:pPr>
      <w:r>
        <w:rPr>
          <w:rStyle w:val="para.5Char"/>
        </w:rPr>
        <w:t/>
      </w:r>
      <w:r>
        <w:rPr>
          <w:rFonts w:ascii="Times New Roman" w:hAnsi="Times New Roman" w:cs="Times New Roman"/>
          <w:position w:val="-0"/>
          <w:sz w:val="20"/>
        </w:rPr>
        <w:t>J.A. 144.</w:t>
      </w:r>
    </w:p>
    <w:p>
      <w:pPr>
        <w:spacing w:line="20" w:lineRule="exact"/>
        <w:sectPr>
          <w:headerReference w:type="default" r:id="h1"/>
          <w:footerReference w:type="default" r:id="f1"/>
          <w:pgSz w:w="12240" w:h="15840"/>
          <w:pgMar w:top="662.4" w:bottom="518.4" w:left="1000" w:right="1000" w:header="0" w:footer="288"/>
        </w:sectPr>
      </w:pPr>
    </w:p>
    <w:p>
      <w:pPr>
        <w:spacing w:before="200" w:after="0" w:line="260" w:lineRule="exact"/>
        <w:jc w:val="both"/>
        <w:ind w:left="0" w:right="0"/>
      </w:pPr>
      <w:r>
        <w:rPr>
          <w:rStyle w:val="para.1Char"/>
        </w:rPr>
        <w:t/>
      </w:r>
      <w:r>
        <w:rPr>
          <w:rFonts w:ascii="Times New Roman" w:hAnsi="Times New Roman" w:cs="Times New Roman"/>
          <w:position w:val="-0"/>
          <w:sz w:val="20"/>
        </w:rPr>
        <w:t>After a reconciliation meeting was held, on January 17, 2014, the district court (Forrest, </w:t>
      </w:r>
      <w:r>
        <w:rPr>
          <w:rStyle w:val="para.2Char"/>
        </w:rPr>
        <w:t/>
      </w:r>
      <w:r>
        <w:rPr>
          <w:i/>
          <w:rFonts w:ascii="Times New Roman" w:hAnsi="Times New Roman" w:cs="Times New Roman"/>
          <w:position w:val="-0"/>
          <w:sz w:val="20"/>
        </w:rPr>
        <w:t>J</w:t>
      </w:r>
      <w:r>
        <w:rPr>
          <w:rStyle w:val="para.1Char"/>
        </w:rPr>
        <w:t/>
      </w:r>
      <w:r>
        <w:rPr>
          <w:rFonts w:ascii="Times New Roman" w:hAnsi="Times New Roman" w:cs="Times New Roman"/>
          <w:position w:val="-0"/>
          <w:sz w:val="20"/>
        </w:rPr>
        <w:t>.), ordered Ironshore and Eidos </w:t>
      </w:r>
      <w:r>
        <w:rPr>
          <w:rStyle w:val="para.1Char"/>
        </w:rPr>
        <w:t/>
      </w:r>
      <w:r>
        <w:rPr>
          <w:rFonts w:ascii="Times New Roman" w:hAnsi="Times New Roman" w:cs="Times New Roman"/>
          <w:position w:val="-0"/>
          <w:sz w:val="20"/>
        </w:rPr>
        <w:t>to proceed with mediation, followed by arbitration if such mediation</w:t>
      </w:r>
      <w:r>
        <w:rPr>
          <w:rStyle w:val="para.4Char"/>
        </w:rPr>
      </w:r>
      <w:r>
        <w:rPr>
          <w:rFonts w:ascii="Times New Roman" w:hAnsi="Times New Roman" w:cs="Times New Roman"/>
          <w:color w:val="#6C6D70"/>
          <w:position w:val="-0"/>
          <w:sz w:val="18"/>
        </w:rPr>
        <w:t> [*3] </w:t>
      </w:r>
      <w:r>
        <w:rPr>
          <w:rStyle w:val="para.5Char"/>
        </w:rPr>
        <w:t/>
      </w:r>
      <w:r>
        <w:rPr>
          <w:rFonts w:ascii="Times New Roman" w:hAnsi="Times New Roman" w:cs="Times New Roman"/>
          <w:position w:val="-0"/>
          <w:sz w:val="20"/>
        </w:rPr>
        <w:t> were unsuccessful. Eidos filed a motion to </w:t>
      </w:r>
      <w:r>
        <w:rPr>
          <w:rStyle w:val="para.5Char"/>
        </w:rPr>
        <w:t/>
      </w:r>
      <w:r>
        <w:rPr>
          <w:rFonts w:ascii="Times New Roman" w:hAnsi="Times New Roman" w:cs="Times New Roman"/>
          <w:position w:val="-0"/>
          <w:sz w:val="20"/>
        </w:rPr>
        <w:t>reconsider, arguing (contrary to its prior position) that litigation rather than arbitration was required in order to resolve the </w:t>
      </w:r>
      <w:r>
        <w:rPr>
          <w:rStyle w:val="para.5Char"/>
        </w:rPr>
        <w:t/>
      </w:r>
      <w:r>
        <w:rPr>
          <w:rFonts w:ascii="Times New Roman" w:hAnsi="Times New Roman" w:cs="Times New Roman"/>
          <w:position w:val="-0"/>
          <w:sz w:val="20"/>
        </w:rPr>
        <w:t>dispute because Stairway was the real party in interest and was not bound by the Policy's arbitration provision. The district </w:t>
      </w:r>
      <w:r>
        <w:rPr>
          <w:rStyle w:val="para.5Char"/>
        </w:rPr>
        <w:t/>
      </w:r>
      <w:r>
        <w:rPr>
          <w:rFonts w:ascii="Times New Roman" w:hAnsi="Times New Roman" w:cs="Times New Roman"/>
          <w:position w:val="-0"/>
          <w:sz w:val="20"/>
        </w:rPr>
        <w:t>court denied Eidos's motion, finding that "Eidos exclusively raises arguments that it did not raise in its original opposition </w:t>
      </w:r>
      <w:r>
        <w:rPr>
          <w:rStyle w:val="para.5Char"/>
        </w:rPr>
        <w:t/>
      </w:r>
      <w:r>
        <w:rPr>
          <w:rFonts w:ascii="Times New Roman" w:hAnsi="Times New Roman" w:cs="Times New Roman"/>
          <w:position w:val="-0"/>
          <w:sz w:val="20"/>
        </w:rPr>
        <w:t>to Ironshore's petition." J.A. 486. Eidos now appeals the district court's January 17 order compelling mediation and </w:t>
      </w:r>
      <w:r>
        <w:rPr>
          <w:rStyle w:val="para.5Char"/>
        </w:rPr>
        <w:t/>
      </w:r>
      <w:r>
        <w:rPr>
          <w:rFonts w:ascii="Times New Roman" w:hAnsi="Times New Roman" w:cs="Times New Roman"/>
          <w:position w:val="-0"/>
          <w:sz w:val="20"/>
        </w:rPr>
        <w:t>arbitration, and its denial of Eidos's motion for reconsideration. We assume the parties' familiarity with the underlying facts </w:t>
      </w:r>
      <w:r>
        <w:rPr>
          <w:rStyle w:val="para.5Char"/>
        </w:rPr>
        <w:t/>
      </w:r>
      <w:r>
        <w:rPr>
          <w:rFonts w:ascii="Times New Roman" w:hAnsi="Times New Roman" w:cs="Times New Roman"/>
          <w:position w:val="-0"/>
          <w:sz w:val="20"/>
        </w:rPr>
        <w:t>and procedural history of the case, and with the issues on appeal.</w:t>
      </w:r>
    </w:p>
    <w:p>
      <w:pPr>
        <w:spacing w:before="200" w:after="0" w:line="260" w:lineRule="exact"/>
        <w:jc w:val="both"/>
        <w:ind w:left="0" w:right="0"/>
      </w:pPr>
      <w:r>
        <w:rPr>
          <w:rStyle w:val="para.5Char"/>
        </w:rPr>
        <w:t/>
      </w:r>
      <w:r>
        <w:rPr>
          <w:rFonts w:ascii="Times New Roman" w:hAnsi="Times New Roman" w:cs="Times New Roman"/>
          <w:position w:val="-0"/>
          <w:sz w:val="20"/>
        </w:rPr>
        <w:t>We generally do not consider arguments not raised in the first instance unless "necessary to avoid a manifest injustice." </w:t>
      </w:r>
      <w:r>
        <w:rPr>
          <w:rStyle w:val="para.6Char"/>
        </w:rPr>
        <w:t/>
      </w:r>
      <w:r>
        <w:rPr>
          <w:i/>
          <w:rFonts w:ascii="Times New Roman" w:hAnsi="Times New Roman" w:cs="Times New Roman"/>
          <w:position w:val="-0"/>
          <w:sz w:val="20"/>
        </w:rPr>
        <w:t>In </w:t>
      </w:r>
      <w:r>
        <w:rPr>
          <w:rStyle w:val="para.6Char"/>
        </w:rPr>
        <w:t/>
      </w:r>
      <w:r>
        <w:rPr>
          <w:i/>
          <w:rFonts w:ascii="Times New Roman" w:hAnsi="Times New Roman" w:cs="Times New Roman"/>
          <w:position w:val="-0"/>
          <w:sz w:val="20"/>
        </w:rPr>
        <w:t>re Nortel Networks Corp. Sec. Litig.</w:t>
      </w:r>
      <w:r>
        <w:rPr>
          <w:rStyle w:val="para.5Char"/>
        </w:rPr>
        <w:t/>
      </w:r>
      <w:r>
        <w:rPr>
          <w:rFonts w:ascii="Times New Roman" w:hAnsi="Times New Roman" w:cs="Times New Roman"/>
          <w:position w:val="-0"/>
          <w:sz w:val="20"/>
        </w:rPr>
        <w:t>, 539 F.3d 129, 133 (2d Cir. 2008). Further, we generally do not "consider an argument </w:t>
      </w:r>
      <w:r>
        <w:rPr>
          <w:rStyle w:val="para.5Char"/>
        </w:rPr>
        <w:t/>
      </w:r>
      <w:r>
        <w:rPr>
          <w:rFonts w:ascii="Times New Roman" w:hAnsi="Times New Roman" w:cs="Times New Roman"/>
          <w:position w:val="-0"/>
          <w:sz w:val="20"/>
        </w:rPr>
        <w:t>on appeal that was raised for the first time below in a motion for reconsideration." </w:t>
      </w:r>
      <w:r>
        <w:rPr>
          <w:rStyle w:val="para.6Char"/>
        </w:rPr>
        <w:t/>
      </w:r>
      <w:r>
        <w:rPr>
          <w:i/>
          <w:rFonts w:ascii="Times New Roman" w:hAnsi="Times New Roman" w:cs="Times New Roman"/>
          <w:position w:val="-0"/>
          <w:sz w:val="20"/>
        </w:rPr>
        <w:t>Analytical Surveys, Inc. v. Tonga </w:t>
      </w:r>
      <w:r>
        <w:rPr>
          <w:rStyle w:val="para.6Char"/>
        </w:rPr>
        <w:t/>
      </w:r>
      <w:r>
        <w:rPr>
          <w:i/>
          <w:rFonts w:ascii="Times New Roman" w:hAnsi="Times New Roman" w:cs="Times New Roman"/>
          <w:position w:val="-0"/>
          <w:sz w:val="20"/>
        </w:rPr>
        <w:t>Partners, L.P</w:t>
      </w:r>
      <w:r>
        <w:rPr>
          <w:rStyle w:val="para.5Char"/>
        </w:rPr>
        <w:t/>
      </w:r>
      <w:r>
        <w:rPr>
          <w:rFonts w:ascii="Times New Roman" w:hAnsi="Times New Roman" w:cs="Times New Roman"/>
          <w:position w:val="-0"/>
          <w:sz w:val="20"/>
        </w:rPr>
        <w:t>., 684 F.3d 36, 53 (2d Cir. 2012). Eidos's current appeal primarily advances arguments for why the dispute </w:t>
      </w:r>
      <w:r>
        <w:rPr>
          <w:rStyle w:val="para.5Char"/>
        </w:rPr>
        <w:t/>
      </w:r>
      <w:r>
        <w:rPr>
          <w:rFonts w:ascii="Times New Roman" w:hAnsi="Times New Roman" w:cs="Times New Roman"/>
          <w:position w:val="-0"/>
          <w:sz w:val="20"/>
        </w:rPr>
        <w:t>regarding Ironshore's coverage under the Policy is not subject to arbitration that were not raised in its initial opposition to </w:t>
      </w:r>
      <w:r>
        <w:rPr>
          <w:rStyle w:val="para.5Char"/>
        </w:rPr>
        <w:t/>
      </w:r>
      <w:r>
        <w:rPr>
          <w:rFonts w:ascii="Times New Roman" w:hAnsi="Times New Roman" w:cs="Times New Roman"/>
          <w:position w:val="-0"/>
          <w:sz w:val="20"/>
        </w:rPr>
        <w:t>Ironshore's</w:t>
      </w:r>
      <w:r>
        <w:rPr>
          <w:rStyle w:val="para.4Char"/>
        </w:rPr>
      </w:r>
      <w:r>
        <w:rPr>
          <w:rFonts w:ascii="Times New Roman" w:hAnsi="Times New Roman" w:cs="Times New Roman"/>
          <w:color w:val="#6C6D70"/>
          <w:position w:val="-0"/>
          <w:sz w:val="18"/>
        </w:rPr>
        <w:t> [*4] </w:t>
      </w:r>
      <w:r>
        <w:rPr>
          <w:rStyle w:val="para.5Char"/>
        </w:rPr>
        <w:t/>
      </w:r>
      <w:r>
        <w:rPr>
          <w:rFonts w:ascii="Times New Roman" w:hAnsi="Times New Roman" w:cs="Times New Roman"/>
          <w:position w:val="-0"/>
          <w:sz w:val="20"/>
        </w:rPr>
        <w:t> petition to compel arbitration, or even in its motion for reconsideration. Eidos has not demonstrated that </w:t>
      </w:r>
      <w:r>
        <w:rPr>
          <w:rStyle w:val="para.5Char"/>
        </w:rPr>
        <w:t/>
      </w:r>
      <w:r>
        <w:rPr>
          <w:rFonts w:ascii="Times New Roman" w:hAnsi="Times New Roman" w:cs="Times New Roman"/>
          <w:position w:val="-0"/>
          <w:sz w:val="20"/>
        </w:rPr>
        <w:t>a manifest injustice will occur if we do not consider its current arguments, and it easily could have raised those arguments </w:t>
      </w:r>
      <w:r>
        <w:rPr>
          <w:rStyle w:val="para.5Char"/>
        </w:rPr>
        <w:t/>
      </w:r>
      <w:r>
        <w:rPr>
          <w:rFonts w:ascii="Times New Roman" w:hAnsi="Times New Roman" w:cs="Times New Roman"/>
          <w:position w:val="-0"/>
          <w:sz w:val="20"/>
        </w:rPr>
        <w:t>in its initial opposition. Accordingly, we hold Eidos's arguments to be forfeited. To the extent that Eidos now advances </w:t>
      </w:r>
      <w:r>
        <w:rPr>
          <w:rStyle w:val="para.5Char"/>
        </w:rPr>
        <w:t/>
      </w:r>
      <w:r>
        <w:rPr>
          <w:rFonts w:ascii="Times New Roman" w:hAnsi="Times New Roman" w:cs="Times New Roman"/>
          <w:position w:val="-0"/>
          <w:sz w:val="20"/>
        </w:rPr>
        <w:t>arguments that it did make to the district court, we affirm for substantially the same reasons stated in the orders of the </w:t>
      </w:r>
      <w:r>
        <w:rPr>
          <w:rStyle w:val="para.5Char"/>
        </w:rPr>
        <w:t/>
      </w:r>
      <w:r>
        <w:rPr>
          <w:rFonts w:ascii="Times New Roman" w:hAnsi="Times New Roman" w:cs="Times New Roman"/>
          <w:position w:val="-0"/>
          <w:sz w:val="20"/>
        </w:rPr>
        <w:t>district court from which Eidos has appealed.</w:t>
      </w:r>
    </w:p>
    <w:p>
      <w:pPr>
        <w:spacing w:before="200" w:after="0" w:line="260" w:lineRule="exact"/>
        <w:jc w:val="left"/>
        <w:ind w:left="0" w:right="0"/>
      </w:pPr>
      <w:r>
        <w:rPr>
          <w:rStyle w:val="para.5Char"/>
        </w:rPr>
        <w:t/>
      </w:r>
      <w:r>
        <w:rPr>
          <w:rFonts w:ascii="Times New Roman" w:hAnsi="Times New Roman" w:cs="Times New Roman"/>
          <w:position w:val="-0"/>
          <w:sz w:val="20"/>
        </w:rPr>
        <w:t>For the foregoing reasons, the decisions of the district court are </w:t>
      </w:r>
      <w:r>
        <w:rPr>
          <w:rStyle w:val="para.7Char"/>
        </w:rPr>
        <w:t/>
      </w:r>
      <w:r>
        <w:rPr>
          <w:b/>
          <w:rFonts w:ascii="Times New Roman" w:hAnsi="Times New Roman" w:cs="Times New Roman"/>
          <w:position w:val="-0"/>
          <w:sz w:val="20"/>
        </w:rPr>
        <w:t>AFFIRMED</w:t>
      </w:r>
      <w:r>
        <w:rPr>
          <w:rStyle w:val="para.5Char"/>
        </w:rPr>
        <w:t/>
      </w:r>
      <w:r>
        <w:rPr>
          <w:rFonts w:ascii="Times New Roman" w:hAnsi="Times New Roman" w:cs="Times New Roman"/>
          <w:position w:val="-0"/>
          <w:sz w:val="20"/>
        </w:rPr>
        <w:t>. The mandate shall issue forthwith.</w:t>
      </w:r>
    </w:p>
    <w:sectPr>
      <w:headerReference w:type="default" r:id="h2"/>
      <w:footerReference w:type="default" r:id="f2"/>
      <w:pgSz w:w="12240" w:h="15840"/>
      <w:pgMar w:top="1080" w:bottom="518.4" w:left="1000" w:right="1000" w:header="576" w:footer="288"/>
    </w:sectPr>
  </w:body>
</w:document>
</file>

<file path=word\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2F8" w:rsidRDefault="009122F8">
      <w:r>
        <w:separator/>
      </w:r>
    </w:p>
  </w:endnote>
  <w:endnote w:type="continuationSeparator" w:id="0">
    <w:p w:rsidR="009122F8" w:rsidRDefault="009122F8">
      <w:r>
        <w:continuationSeparator/>
      </w:r>
    </w:p>
  </w:endnote>
</w:endnotes>
</file>

<file path=word\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\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ve="http://schemas.openxmlformats.org/markup-compatibility/2006" xmlns:xs="http://www.w3.org/2001/XMLSchema" xmlns:fn="http://www.w3.org/2005/xpath-functions" xmlns:wx="http://schemas.microsoft.com/office/word/2003/2/auxHint" xmlns:xpp="http://www.sdl.com/xpp" mc:Ignorable="w14 wp14" exclude-result-prefixes="xpp xs fn xsl">
  <w:p>
    <w:pPr>
      <w:spacing w:line="240" w:after="0" w:lineRule="auto"/>
      <w:jc w:val="center"/>
      <w:ind w:left="0" w:right="0"/>
    </w:pPr>
    <w:r>
      <w:rPr>
        <w:rFonts w:ascii="Times New Roman" w:hAnsi="Times New Roman" w:cs="Times New Roman"/>
        <w:position w:val="-0"/>
        <w:sz w:val="20"/>
      </w:rPr>
      <w:t> </w:t>
    </w:r>
  </w:p>
</w:ftr>
</file>

<file path=word\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ve="http://schemas.openxmlformats.org/markup-compatibility/2006" xmlns:xs="http://www.w3.org/2001/XMLSchema" xmlns:fn="http://www.w3.org/2005/xpath-functions" xmlns:wx="http://schemas.microsoft.com/office/word/2003/2/auxHint" xmlns:xpp="http://www.sdl.com/xpp" mc:Ignorable="w14 wp14" exclude-result-prefixes="xpp xs fn xsl">
  <w:p>
    <w:pPr>
      <w:spacing w:line="240" w:after="0" w:lineRule="auto"/>
      <w:jc w:val="center"/>
      <w:ind w:left="0" w:right="0"/>
    </w:pPr>
    <w:r>
      <w:rPr>
        <w:rFonts w:ascii="Times New Roman" w:hAnsi="Times New Roman" w:cs="Times New Roman"/>
        <w:position w:val="-0"/>
        <w:sz w:val="20"/>
      </w:rPr>
      <w:t> </w:t>
    </w:r>
    <w:r>
      <w:rPr>
        <w:rFonts w:ascii="Times New Roman" w:hAnsi="Times New Roman" w:cs="Times New Roman"/>
        <w:position w:val="-0"/>
        <w:sz w:val="20"/>
      </w:rPr>
      <w:t> </w:t>
    </w:r>
  </w:p>
</w:ftr>
</file>

<file path=word\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2F8" w:rsidRDefault="009122F8">
      <w:r>
        <w:separator/>
      </w:r>
    </w:p>
  </w:footnote>
  <w:footnote w:type="continuationSeparator" w:id="0">
    <w:p w:rsidR="009122F8" w:rsidRDefault="009122F8">
      <w:r>
        <w:continuationSeparator/>
      </w:r>
    </w:p>
  </w:footnote>
</w:footnotes>
</file>

<file path=word\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ve="http://schemas.openxmlformats.org/markup-compatibility/2006" xmlns:xs="http://www.w3.org/2001/XMLSchema" xmlns:fn="http://www.w3.org/2005/xpath-functions" xmlns:wx="http://schemas.microsoft.com/office/word/2003/2/auxHint" xmlns:xpp="http://www.sdl.com/xpp" mc:Ignorable="w14 wp14" inherit-namespaces="no"/>
</file>

<file path=word\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ve="http://schemas.openxmlformats.org/markup-compatibility/2006" xmlns:xs="http://www.w3.org/2001/XMLSchema" xmlns:fn="http://www.w3.org/2005/xpath-functions" xmlns:wx="http://schemas.microsoft.com/office/word/2003/2/auxHint" xmlns:xpp="http://www.sdl.com/xpp" mc:Ignorable="w14 wp14" inherit-namespaces="no">
  <w:p>
    <w:pPr>
      <w:spacing w:line="240" w:after="0" w:lineRule="auto"/>
      <w:jc w:val="center"/>
      <w:ind w:left="0" w:right="0"/>
    </w:pPr>
    <w:r>
      <w:rPr>
        <w:rFonts w:ascii="Times New Roman" w:hAnsi="Times New Roman" w:cs="Times New Roman"/>
        <w:position w:val="-0"/>
        <w:sz w:val="20"/>
      </w:rPr>
      <w:t> </w:t>
    </w:r>
  </w:p>
  <w:p>
    <w:pPr>
      <w:spacing w:before="40" w:after="0" w:line="240" w:lineRule="auto"/>
      <w:jc w:val="center"/>
      <w:ind w:left="0" w:right="0"/>
    </w:pPr>
    <w:r>
      <w:rPr>
        <w:rFonts w:ascii="Times New Roman" w:hAnsi="Times New Roman" w:cs="Times New Roman"/>
        <w:position w:val="-0"/>
        <w:sz w:val="20"/>
      </w:rPr>
      <w:t> 2014 U.S. App. LEXIS 24251, *4</w:t>
    </w:r>
  </w:p>
</w:hdr>
</file>

<file path=word\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6A"/>
    <w:rsid w:val="0073337C"/>
    <w:rsid w:val="00B6416A"/>
    <w:rsid w:val="00D6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\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16A"/>
    <w:rPr>
      <w:rFonts w:ascii="Tahoma" w:hAnsi="Tahoma" w:cs="Tahoma"/>
      <w:sz w:val="16"/>
      <w:szCs w:val="16"/>
    </w:rPr>
  </w:style>
</w:styles>
</file>

<file path=word\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16A"/>
    <w:rPr>
      <w:rFonts w:ascii="Tahoma" w:hAnsi="Tahoma" w:cs="Tahoma"/>
      <w:sz w:val="16"/>
      <w:szCs w:val="16"/>
    </w:rPr>
  </w:style>
</w:styles>
</file>

<file path=word\theme\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\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