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Default Extension="jpg" ContentType="image/jpg"/>
  <Default Extension="jpeg" ContentType="image/jpeg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\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5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2</cp:revision>
  <dcterms:created xsi:type="dcterms:W3CDTF">2013-01-15T09:05:00Z</dcterms:created>
  <dcterms:modified xsi:type="dcterms:W3CDTF">2013-01-15T09:05:00Z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DocCount">
    <vt:i4>1</vt:i4>
  </property>
  <property fmtid="{D5CDD505-2E9C-101B-9397-08002B2CF9AE}" pid="3" name="LADocumentID:urn:contentItem:5DX1-2VP1-F04K-J105-00000-00">
    <vt:lpwstr>docID::/shared/document|contextualFeaturePermID::1000516</vt:lpwstr>
  </property>
</Properties>
</file>

<file path=word\_rels\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7" Type="http://schemas.openxmlformats.org/officeDocument/2006/relationships/endnotes" Target="endnot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h1" Type="http://schemas.openxmlformats.org/officeDocument/2006/relationships/header" Target="header1.xml"/><Relationship Id="h2" Type="http://schemas.openxmlformats.org/officeDocument/2006/relationships/header" Target="header2.xml"/><Relationship Id="f1" Type="http://schemas.openxmlformats.org/officeDocument/2006/relationships/footer" Target="footer1.xml"/><Relationship Id="f2" Type="http://schemas.openxmlformats.org/officeDocument/2006/relationships/footer" Target="footer2.xml"/></Relationships>
</file>

<file path=word\document.xml><?xml version="1.0" encoding="utf-8"?>
<w:document xmlns:w="http://schemas.openxmlformats.org/wordprocessingml/2006/main" xmlns:ve="http://schemas.openxmlformats.org/markup-compatibility/2006" xmlns:xs="http://www.w3.org/2001/XMLSchema" xmlns:fn="http://www.w3.org/2005/xpath-functions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x="http://schemas.microsoft.com/office/word/2003/2/auxHint" xmlns:wps="http://schemas.microsoft.com/office/word/2010/wordprocessingShape" xmlns:xpp="http://www.sdl.com/xpp" xml:space="preserve">
  <w:body>
    <w:p>
      <w:pPr>
        <w:spacing w:line="260" w:after="0" w:lineRule="exact"/>
        <w:jc w:val="left"/>
        <w:ind w:left="0" w:right="0"/>
      </w:pPr>
      <w:r>
        <w:rPr>
          <w:rStyle w:val="headerChar"/>
        </w:rPr>
        <w:t/>
      </w:r>
      <w:r>
        <w:rPr>
          <w:rFonts w:ascii="Times New Roman" w:hAnsi="Times New Roman" w:cs="Times New Roman"/>
          <w:position w:val="-0"/>
          <w:sz w:val="20"/>
        </w:rPr>
        <w:t> </w:t>
      </w:r>
    </w:p>
    <w:p>
      <w:pPr>
        <w:spacing w:before="320" w:after="0" w:line="360" w:lineRule="exact"/>
        <w:jc w:val="center"/>
        <w:ind w:left="0" w:right="0"/>
      </w:pPr>
      <w:r>
        <w:rPr>
          <w:rStyle w:val="header.1Char"/>
        </w:rPr>
        <w:t/>
      </w:r>
      <w:r>
        <w:rPr>
          <w:b/>
          <w:rFonts w:ascii="Times New Roman" w:hAnsi="Times New Roman" w:cs="Times New Roman"/>
          <w:position w:val="-0"/>
          <w:sz w:val="30"/>
        </w:rPr>
        <w:t>ABC v. Ironshore Specialty Ins. Co.</w:t>
      </w:r>
      <w:r>
        <w:rPr>
          <w:rStyle w:val="headerChar"/>
        </w:rPr>
        <w:t/>
      </w:r>
      <w:r>
        <w:rPr>
          <w:rFonts w:ascii="Times New Roman" w:hAnsi="Times New Roman" w:cs="Times New Roman"/>
          <w:position w:val="-0"/>
          <w:sz w:val="20"/>
        </w:rPr>
        <w:t> </w:t>
      </w:r>
    </w:p>
    <w:p>
      <w:pPr>
        <w:spacing w:before="120" w:after="0" w:line="260" w:lineRule="exact"/>
        <w:jc w:val="center"/>
        <w:ind w:left="0" w:right="0"/>
      </w:pPr>
      <w:r>
        <w:rPr>
          <w:rStyle w:val="headerChar"/>
        </w:rPr>
        <w:t/>
      </w:r>
      <w:r>
        <w:rPr>
          <w:rFonts w:ascii="Times New Roman" w:hAnsi="Times New Roman" w:cs="Times New Roman"/>
          <w:position w:val="-0"/>
          <w:sz w:val="20"/>
        </w:rPr>
        <w:t>United States Court of Appeals for the Second Circuit</w:t>
      </w:r>
    </w:p>
    <w:p>
      <w:pPr>
        <w:spacing w:before="120" w:after="0" w:line="260" w:lineRule="exact"/>
        <w:jc w:val="center"/>
        <w:ind w:left="0" w:right="0"/>
      </w:pPr>
      <w:r>
        <w:rPr>
          <w:rStyle w:val="headerChar"/>
        </w:rPr>
        <w:t/>
      </w:r>
      <w:r>
        <w:rPr>
          <w:rFonts w:ascii="Times New Roman" w:hAnsi="Times New Roman" w:cs="Times New Roman"/>
          <w:position w:val="-0"/>
          <w:sz w:val="20"/>
        </w:rPr>
        <w:t>December 23, 2014, Decided</w:t>
      </w:r>
    </w:p>
    <w:p>
      <w:pPr>
        <w:spacing w:before="120" w:after="0" w:line="260" w:lineRule="exact"/>
        <w:jc w:val="center"/>
        <w:ind w:left="0" w:right="0"/>
      </w:pPr>
      <w:r>
        <w:rPr>
          <w:rStyle w:val="headerChar"/>
        </w:rPr>
        <w:t/>
      </w:r>
      <w:r>
        <w:rPr>
          <w:rFonts w:ascii="Times New Roman" w:hAnsi="Times New Roman" w:cs="Times New Roman"/>
          <w:position w:val="-0"/>
          <w:sz w:val="20"/>
        </w:rPr>
        <w:t>No. 14-0382-cv</w:t>
      </w:r>
    </w:p>
    <w:p>
      <w:pPr>
        <w:spacing w:before="240" w:after="0" w:line="240" w:lineRule="exact"/>
        <w:jc w:val="left"/>
        <w:ind w:left="0" w:right="0"/>
      </w:pPr>
      <w:r>
        <w:rPr>
          <w:rStyle w:val="spanChar"/>
        </w:rPr>
        <w:t/>
      </w:r>
      <w:r>
        <w:rPr>
          <w:b/>
          <w:rFonts w:ascii="Times New Roman" w:hAnsi="Times New Roman" w:cs="Times New Roman"/>
          <w:position w:val="-0"/>
          <w:sz w:val="18"/>
        </w:rPr>
        <w:t>Reporter</w:t>
      </w:r>
      <w:r>
        <w:rPr>
          <w:rStyle w:val="span.1Char"/>
        </w:rPr>
        <w:t/>
      </w:r>
      <w:r>
        <w:rPr>
          <w:rFonts w:ascii="Times New Roman" w:hAnsi="Times New Roman" w:cs="Times New Roman"/>
          <w:position w:val="-0"/>
          <w:sz w:val="18"/>
        </w:rPr>
        <w:t> </w:t>
      </w:r>
    </w:p>
    <w:p>
      <w:pPr>
        <w:spacing w:line="260" w:after="0" w:lineRule="exact"/>
        <w:jc w:val="left"/>
        <w:ind w:left="0" w:right="0"/>
      </w:pPr>
      <w:r>
        <w:rPr>
          <w:rStyle w:val="span.1Char"/>
        </w:rPr>
        <w:t/>
      </w:r>
      <w:r>
        <w:rPr>
          <w:rFonts w:ascii="Times New Roman" w:hAnsi="Times New Roman" w:cs="Times New Roman"/>
          <w:position w:val="-0"/>
          <w:sz w:val="18"/>
        </w:rPr>
        <w:t>2014 U.S. App. LEXIS 24251</w:t>
      </w:r>
      <w:r>
        <w:rPr>
          <w:rStyle w:val="span.2Char"/>
        </w:rPr>
        <w:t/>
      </w:r>
      <w:r>
        <w:rPr>
          <w:rFonts w:ascii="Times New Roman" w:hAnsi="Times New Roman" w:cs="Times New Roman"/>
          <w:position w:val="-0"/>
          <w:sz w:val="20"/>
        </w:rPr>
        <w:t> </w:t>
      </w:r>
    </w:p>
    <w:p>
      <w:pPr>
        <w:spacing w:before="260" w:after="0" w:line="260" w:lineRule="exact"/>
        <w:jc w:val="both"/>
        <w:ind w:left="0" w:right="0"/>
      </w:pPr>
      <w:r>
        <w:rPr>
          <w:rStyle w:val="span.2Char"/>
        </w:rPr>
        <w:t/>
      </w:r>
      <w:r>
        <w:rPr>
          <w:rFonts w:ascii="Times New Roman" w:hAnsi="Times New Roman" w:cs="Times New Roman"/>
          <w:position w:val="-0"/>
          <w:sz w:val="20"/>
        </w:rPr>
        <w:t>ABC, Plaintiff, - v. - IRONSHORE SPECIALTY INSURANCE COMPANY, Petitioner-Appellee, - v. - DEF, Defendant, </w:t>
      </w:r>
      <w:r>
        <w:rPr>
          <w:rStyle w:val="span.2Char"/>
        </w:rPr>
        <w:t/>
      </w:r>
      <w:r>
        <w:rPr>
          <w:rFonts w:ascii="Times New Roman" w:hAnsi="Times New Roman" w:cs="Times New Roman"/>
          <w:position w:val="-0"/>
          <w:sz w:val="20"/>
        </w:rPr>
        <w:t>- v. - EIDOS PARTNERS, LLC, EIDOS III, LLC, EIDOS, IV, LLC, EIDOS DISPLAY, LLC, EIDOS ADVANCED </w:t>
      </w:r>
      <w:r>
        <w:rPr>
          <w:rStyle w:val="span.2Char"/>
        </w:rPr>
        <w:t/>
      </w:r>
      <w:r>
        <w:rPr>
          <w:rFonts w:ascii="Times New Roman" w:hAnsi="Times New Roman" w:cs="Times New Roman"/>
          <w:position w:val="-0"/>
          <w:sz w:val="20"/>
        </w:rPr>
        <w:t>DISPLAY, LLC, KAMDES IP HOLDING, LLC, EIDOS, LLC, Respondents-Appellants.</w:t>
      </w:r>
    </w:p>
    <w:p>
      <w:pPr>
        <w:spacing w:before="260" w:after="0" w:line="260" w:lineRule="exact"/>
        <w:jc w:val="both"/>
        <w:ind w:left="0" w:right="0"/>
      </w:pPr>
      <w:r>
        <w:rPr>
          <w:rStyle w:val="span.3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Notice: </w:t>
      </w:r>
      <w:r>
        <w:rPr>
          <w:rStyle w:val="pChar"/>
        </w:rPr>
        <w:t/>
      </w:r>
      <w:r>
        <w:rPr>
          <w:rFonts w:ascii="Times New Roman" w:hAnsi="Times New Roman" w:cs="Times New Roman"/>
          <w:position w:val="-0"/>
          <w:sz w:val="20"/>
        </w:rPr>
        <w:t>PLEASE REFER TO FEDERAL RULES OF APPELLATE PROCEDURE RULE 32.1 GOVERNING THE </w:t>
      </w:r>
      <w:r>
        <w:rPr>
          <w:rStyle w:val="pChar"/>
        </w:rPr>
        <w:t/>
      </w:r>
      <w:r>
        <w:rPr>
          <w:rFonts w:ascii="Times New Roman" w:hAnsi="Times New Roman" w:cs="Times New Roman"/>
          <w:position w:val="-0"/>
          <w:sz w:val="20"/>
        </w:rPr>
        <w:t>CITATION TO UNPUBLISHED OPINIONS.</w:t>
      </w:r>
    </w:p>
    <w:p>
      <w:pPr>
        <w:spacing w:before="260" w:after="0" w:line="260" w:lineRule="exact"/>
        <w:jc w:val="left"/>
        <w:ind w:left="0" w:right="0"/>
      </w:pPr>
      <w:r>
        <w:rPr>
          <w:rStyle w:val="span.3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Prior History: </w:t>
      </w:r>
      <w:r>
        <w:rPr>
          <w:rStyle w:val="span.2Char"/>
        </w:rPr>
        <w:t/>
      </w:r>
      <w:r>
        <w:rPr>
          <w:rFonts w:ascii="Times New Roman" w:hAnsi="Times New Roman" w:cs="Times New Roman"/>
          <w:position w:val="-0"/>
          <w:sz w:val="20"/>
        </w:rPr>
        <w:t>Ironshore Specialty Ins. Co. v. Eidos Partners, LLC, 2014 U.S. Dist. LEXIS 8438 (S.D.N.Y., Jan. 17, 2014)</w:t>
      </w:r>
    </w:p>
    <w:p>
      <w:pPr>
        <w:spacing w:before="260" w:after="0" w:line="260" w:lineRule="exact"/>
        <w:jc w:val="both"/>
        <w:ind w:left="0" w:right="0"/>
      </w:pPr>
      <w:r>
        <w:rPr>
          <w:rStyle w:val="span.3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Counsel: </w:t>
      </w:r>
      <w:r>
        <w:rPr>
          <w:rStyle w:val="span.4Char"/>
        </w:rPr>
      </w:r>
      <w:r>
        <w:rPr>
          <w:rFonts w:ascii="Times New Roman" w:hAnsi="Times New Roman" w:cs="Times New Roman"/>
          <w:color w:val="#6C6D70"/>
          <w:position w:val="-0"/>
          <w:sz w:val="20"/>
        </w:rPr>
        <w:t> </w:t>
      </w:r>
      <w:r>
        <w:rPr>
          <w:rStyle w:val="span.5Char"/>
        </w:rPr>
      </w:r>
      <w:r>
        <w:rPr>
          <w:rFonts w:ascii="Times New Roman" w:hAnsi="Times New Roman" w:cs="Times New Roman"/>
          <w:color w:val="#6C6D70"/>
          <w:position w:val="-0"/>
          <w:sz w:val="18"/>
        </w:rPr>
        <w:t>[*1] </w:t>
      </w:r>
      <w:r>
        <w:rPr>
          <w:rStyle w:val="span.6Char"/>
        </w:rPr>
        <w:t/>
      </w:r>
      <w:r>
        <w:rPr>
          <w:rFonts w:ascii="Times New Roman" w:hAnsi="Times New Roman" w:cs="Times New Roman"/>
          <w:position w:val="-0"/>
          <w:sz w:val="20"/>
        </w:rPr>
        <w:t>CHARLES E. DORKEY III (Gaspare J. Bono, on the brief), McKenna Long &amp; Aldridge, Washington, DC, </w:t>
      </w:r>
      <w:r>
        <w:rPr>
          <w:rStyle w:val="span.6Char"/>
        </w:rPr>
        <w:t/>
      </w:r>
      <w:r>
        <w:rPr>
          <w:rFonts w:ascii="Times New Roman" w:hAnsi="Times New Roman" w:cs="Times New Roman"/>
          <w:position w:val="-0"/>
          <w:sz w:val="20"/>
        </w:rPr>
        <w:t>for Respondents-Appellants.</w:t>
      </w:r>
    </w:p>
    <w:p>
      <w:pPr>
        <w:spacing w:before="260" w:after="0" w:line="260" w:lineRule="exact"/>
        <w:jc w:val="left"/>
        <w:ind w:left="0" w:right="0"/>
      </w:pPr>
      <w:r>
        <w:rPr>
          <w:rStyle w:val="span.6Char"/>
        </w:rPr>
        <w:t/>
      </w:r>
      <w:r>
        <w:rPr>
          <w:rFonts w:ascii="Times New Roman" w:hAnsi="Times New Roman" w:cs="Times New Roman"/>
          <w:position w:val="-0"/>
          <w:sz w:val="20"/>
        </w:rPr>
        <w:t>KEVIN J.WINDELS (Peter A. Stroili, on the brief), D'Amato &amp; Lynch, LLP, New York, NY, for Petitioner-Appellee.</w:t>
      </w:r>
    </w:p>
    <w:p>
      <w:pPr>
        <w:spacing w:before="260" w:after="0" w:line="260" w:lineRule="exact"/>
        <w:jc w:val="left"/>
        <w:ind w:left="0" w:right="0"/>
      </w:pPr>
      <w:r>
        <w:rPr>
          <w:rStyle w:val="span.7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Judges: </w:t>
      </w:r>
      <w:r>
        <w:rPr>
          <w:rStyle w:val="span.6Char"/>
        </w:rPr>
        <w:t/>
      </w:r>
      <w:r>
        <w:rPr>
          <w:rFonts w:ascii="Times New Roman" w:hAnsi="Times New Roman" w:cs="Times New Roman"/>
          <w:position w:val="-0"/>
          <w:sz w:val="20"/>
        </w:rPr>
        <w:t>PRESENT: GUIDO CALABRESI, BARRINGTON D. PARKER, DEBRA ANN LIVINGSTON, Circuit Judges.</w:t>
      </w:r>
    </w:p>
    <w:p>
      <w:pPr>
        <w:spacing w:before="280" w:after="0" w:line="340" w:lineRule="exact"/>
        <w:jc w:val="left"/>
        <w:ind w:left="0" w:right="0"/>
      </w:pPr>
      <w:r>
        <w:rPr>
          <w:rStyle w:val="h2Char"/>
        </w:rPr>
        <w:t/>
      </w:r>
      <w:r>
        <w:rPr>
          <w:b/>
          <w:rFonts w:ascii="Times New Roman" w:hAnsi="Times New Roman" w:cs="Times New Roman"/>
          <w:position w:val="-0"/>
          <w:sz w:val="28"/>
        </w:rPr>
        <w:t>Opinion</w:t>
      </w:r>
      <w:r>
        <w:pict>
          <v:line style="position:absolute;flip:y;z-index:251659264;visibility:visible;mso-wrap-style:square;mso-width-percent:0;mso-height-percent:0;mso-wrap-distance-left:9pt;mso-wrap-distance-top:4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pt,33.5pt" to="492pt,33.5pt" strokecolor="#009DDB" strokeweight="2pt">
            <w10:anchorlock/>
          </v:line>
        </w:pict>
      </w:r>
    </w:p>
    <w:p>
      <w:pPr>
        <w:spacing w:before="260" w:after="0" w:line="260" w:lineRule="exact"/>
        <w:jc w:val="left"/>
        <w:ind w:left="0" w:right="0"/>
      </w:pPr>
      <w:r>
        <w:rPr>
          <w:rStyle w:val="span.3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SUMMARY ORDER</w:t>
      </w:r>
    </w:p>
    <w:p>
      <w:pPr>
        <w:spacing w:before="200" w:after="0" w:line="260" w:lineRule="exact"/>
        <w:jc w:val="both"/>
        <w:ind w:left="0" w:right="0"/>
      </w:pPr>
      <w:r>
        <w:rPr>
          <w:rStyle w:val="para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UPON DUE CONSIDERATION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, it is hereby </w:t>
      </w:r>
      <w:r>
        <w:rPr>
          <w:rStyle w:val="para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ORDERED, ADJUDGED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, and </w:t>
      </w:r>
      <w:r>
        <w:rPr>
          <w:rStyle w:val="para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DECREED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 that the judgment of the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district court is </w:t>
      </w:r>
      <w:r>
        <w:rPr>
          <w:rStyle w:val="para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AFFIRMED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.</w:t>
      </w:r>
    </w:p>
    <w:p>
      <w:pPr>
        <w:spacing w:before="200" w:after="0" w:line="260" w:lineRule="exact"/>
        <w:jc w:val="both"/>
        <w:ind w:left="0" w:right="0"/>
      </w:pP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On November 2, 2010, Eidos Partners, LLC, Eidos Display, LLC, Eidos III, LLC, Eidos IV, LLC, Eidos Advanced Display,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LLC and Kamdes IP Holdings, LLC (collectively "Eidos"), obtained a debt facility from Stairway Capital Management II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L.P. ("Stairway") in order to fund a patent enforcement litigation program. That same day, Ironshore Specialty Insurance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Company ("Ironshore") executed an insurance policy (the "Policy") providing coverage to Eidos in case Eidos did not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recoup at least the amount of Stairway's loan through its patent enforcement litigation program. On October 8, 2013,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Ironshore served on Eidos a Demand for Arbitration and Statement of Claim. It sought to have the Policy declared void </w:t>
      </w:r>
      <w:r>
        <w:rPr>
          <w:rStyle w:val="para.2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ab initio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 due to alleged misrepresentations</w:t>
      </w:r>
      <w:r>
        <w:rPr>
          <w:rStyle w:val="para.4Char"/>
        </w:rPr>
      </w:r>
      <w:r>
        <w:rPr>
          <w:rFonts w:ascii="Times New Roman" w:hAnsi="Times New Roman" w:cs="Times New Roman"/>
          <w:color w:val="#6C6D70"/>
          <w:position w:val="-0"/>
          <w:sz w:val="18"/>
        </w:rPr>
        <w:t> [*2]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 made by Eidos and its attorneys, and in the alternative sought a declaratory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judgment that no coverage was due under the Policy because no "Covered Event" had occurred. Ironshore made a second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argument in the alternative that the limit of liability under the Policy had been reduced.</w:t>
      </w:r>
    </w:p>
    <w:p>
      <w:pPr>
        <w:spacing w:before="200" w:after="0" w:line="260" w:lineRule="exact"/>
        <w:jc w:val="both"/>
        <w:ind w:left="0" w:right="0"/>
      </w:pP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On November 26, Ironshore filed a petition in the United States District Court for the Southern District of New York to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compel Eidos to arbitrate the dispute. In response, Eidos acknowledged that the dispute was governed by the Policy's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dispute resolution provision providing for mandatory arbitration, but argued that arbitration was premature because the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parties had not yet engaged in a reconciliation meeting. Eidos declared:</w:t>
      </w:r>
    </w:p>
    <w:p>
      <w:pPr>
        <w:spacing w:before="240" w:after="0" w:line="260" w:lineRule="exact"/>
        <w:jc w:val="both"/>
        <w:ind w:left="360" w:right="360"/>
      </w:pP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The Policy unquestionably provides a three-step process for any disputes that arise in connection the [sic] Policy,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namely: (1) reconciliation of outstanding issues on amount of loss, (2) non-binding mediation, and then (3)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arbitration before the American Arbitration Association ('AAA').</w:t>
      </w:r>
    </w:p>
    <w:p>
      <w:pPr>
        <w:spacing w:before="240" w:after="0" w:line="260" w:lineRule="exact"/>
        <w:jc w:val="left"/>
        <w:ind w:left="0" w:right="0"/>
      </w:pP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J.A. 144.</w:t>
      </w:r>
    </w:p>
    <w:p>
      <w:pPr>
        <w:spacing w:line="20" w:lineRule="exact"/>
        <w:sectPr>
          <w:headerReference w:type="default" r:id="h1"/>
          <w:footerReference w:type="default" r:id="f1"/>
          <w:pgSz w:w="12240" w:h="15840"/>
          <w:pgMar w:top="662.4" w:bottom="518.4" w:left="1000" w:right="1000" w:header="0" w:footer="288"/>
        </w:sectPr>
      </w:pPr>
    </w:p>
    <w:p>
      <w:pPr>
        <w:spacing w:before="200" w:after="0" w:line="260" w:lineRule="exact"/>
        <w:jc w:val="both"/>
        <w:ind w:left="0" w:right="0"/>
      </w:pP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After a reconciliation meeting was held, on January 17, 2014, the district court (Forrest, </w:t>
      </w:r>
      <w:r>
        <w:rPr>
          <w:rStyle w:val="para.2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J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.), ordered Ironshore and Eidos </w:t>
      </w:r>
      <w:r>
        <w:rPr>
          <w:rStyle w:val="para.1Char"/>
        </w:rPr>
        <w:t/>
      </w:r>
      <w:r>
        <w:rPr>
          <w:rFonts w:ascii="Times New Roman" w:hAnsi="Times New Roman" w:cs="Times New Roman"/>
          <w:position w:val="-0"/>
          <w:sz w:val="20"/>
        </w:rPr>
        <w:t>to proceed with mediation, followed by arbitration if such mediation</w:t>
      </w:r>
      <w:r>
        <w:rPr>
          <w:rStyle w:val="para.4Char"/>
        </w:rPr>
      </w:r>
      <w:r>
        <w:rPr>
          <w:rFonts w:ascii="Times New Roman" w:hAnsi="Times New Roman" w:cs="Times New Roman"/>
          <w:color w:val="#6C6D70"/>
          <w:position w:val="-0"/>
          <w:sz w:val="18"/>
        </w:rPr>
        <w:t> [*3]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 were unsuccessful. Eidos filed a motion to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reconsider, arguing (contrary to its prior position) that litigation rather than arbitration was required in order to resolve the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dispute because Stairway was the real party in interest and was not bound by the Policy's arbitration provision. The district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court denied Eidos's motion, finding that "Eidos exclusively raises arguments that it did not raise in its original opposition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to Ironshore's petition." J.A. 486. Eidos now appeals the district court's January 17 order compelling mediation and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arbitration, and its denial of Eidos's motion for reconsideration. We assume the parties' familiarity with the underlying facts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and procedural history of the case, and with the issues on appeal.</w:t>
      </w:r>
    </w:p>
    <w:p>
      <w:pPr>
        <w:spacing w:before="200" w:after="0" w:line="260" w:lineRule="exact"/>
        <w:jc w:val="both"/>
        <w:ind w:left="0" w:right="0"/>
      </w:pP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We generally do not consider arguments not raised in the first instance unless "necessary to avoid a manifest injustice." </w:t>
      </w:r>
      <w:r>
        <w:rPr>
          <w:rStyle w:val="para.6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In </w:t>
      </w:r>
      <w:r>
        <w:rPr>
          <w:rStyle w:val="para.6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re Nortel Networks Corp. Sec. Litig.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, 539 F.3d 129, 133 (2d Cir. 2008). Further, we generally do not "consider an argument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on appeal that was raised for the first time below in a motion for reconsideration." </w:t>
      </w:r>
      <w:r>
        <w:rPr>
          <w:rStyle w:val="para.6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Analytical Surveys, Inc. v. Tonga </w:t>
      </w:r>
      <w:r>
        <w:rPr>
          <w:rStyle w:val="para.6Char"/>
        </w:rPr>
        <w:t/>
      </w:r>
      <w:r>
        <w:rPr>
          <w:i/>
          <w:rFonts w:ascii="Times New Roman" w:hAnsi="Times New Roman" w:cs="Times New Roman"/>
          <w:position w:val="-0"/>
          <w:sz w:val="20"/>
        </w:rPr>
        <w:t>Partners, L.P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., 684 F.3d 36, 53 (2d Cir. 2012). Eidos's current appeal primarily advances arguments for why the dispute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regarding Ironshore's coverage under the Policy is not subject to arbitration that were not raised in its initial opposition to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Ironshore's</w:t>
      </w:r>
      <w:r>
        <w:rPr>
          <w:rStyle w:val="para.4Char"/>
        </w:rPr>
      </w:r>
      <w:r>
        <w:rPr>
          <w:rFonts w:ascii="Times New Roman" w:hAnsi="Times New Roman" w:cs="Times New Roman"/>
          <w:color w:val="#6C6D70"/>
          <w:position w:val="-0"/>
          <w:sz w:val="18"/>
        </w:rPr>
        <w:t> [*4]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 petition to compel arbitration, or even in its motion for reconsideration. Eidos has not demonstrated that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 manifest injustice will occur if we do not consider its current arguments, and it easily could have raised those arguments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in its initial opposition. Accordingly, we hold Eidos's arguments to be forfeited. To the extent that Eidos now advances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arguments that it did make to the district court, we affirm for substantially the same reasons stated in the orders of the 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district court from which Eidos has appealed.</w:t>
      </w:r>
    </w:p>
    <w:p>
      <w:pPr>
        <w:spacing w:before="200" w:after="0" w:line="260" w:lineRule="exact"/>
        <w:jc w:val="left"/>
        <w:ind w:left="0" w:right="0"/>
      </w:pP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For the foregoing reasons, the decisions of the district court are </w:t>
      </w:r>
      <w:r>
        <w:rPr>
          <w:rStyle w:val="para.7Char"/>
        </w:rPr>
        <w:t/>
      </w:r>
      <w:r>
        <w:rPr>
          <w:b/>
          <w:rFonts w:ascii="Times New Roman" w:hAnsi="Times New Roman" w:cs="Times New Roman"/>
          <w:position w:val="-0"/>
          <w:sz w:val="20"/>
        </w:rPr>
        <w:t>AFFIRMED</w:t>
      </w:r>
      <w:r>
        <w:rPr>
          <w:rStyle w:val="para.5Char"/>
        </w:rPr>
        <w:t/>
      </w:r>
      <w:r>
        <w:rPr>
          <w:rFonts w:ascii="Times New Roman" w:hAnsi="Times New Roman" w:cs="Times New Roman"/>
          <w:position w:val="-0"/>
          <w:sz w:val="20"/>
        </w:rPr>
        <w:t>. The mandate shall issue forthwith.</w:t>
      </w:r>
    </w:p>
    <w:sectPr>
      <w:headerReference w:type="default" r:id="h2"/>
      <w:footerReference w:type="default" r:id="f2"/>
      <w:pgSz w:w="12240" w:h="15840"/>
      <w:pgMar w:top="1080" w:bottom="518.4" w:left="1000" w:right="1000" w:header="576" w:footer="288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F8" w:rsidRDefault="009122F8">
      <w:r>
        <w:separator/>
      </w:r>
    </w:p>
  </w:endnote>
  <w:endnote w:type="continuationSeparator" w:id="0">
    <w:p w:rsidR="009122F8" w:rsidRDefault="009122F8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xs="http://www.w3.org/2001/XMLSchema" xmlns:fn="http://www.w3.org/2005/xpath-functions" xmlns:wx="http://schemas.microsoft.com/office/word/2003/2/auxHint" xmlns:xpp="http://www.sdl.com/xpp" mc:Ignorable="w14 wp14" exclude-result-prefixes="xpp xs fn xsl">
  <w:p>
    <w:pPr>
      <w:spacing w:line="240" w:after="0" w:lineRule="auto"/>
      <w:jc w:val="center"/>
      <w:ind w:left="0" w:right="0"/>
    </w:pPr>
    <w:r>
      <w:rPr>
        <w:rFonts w:ascii="Times New Roman" w:hAnsi="Times New Roman" w:cs="Times New Roman"/>
        <w:position w:val="-0"/>
        <w:sz w:val="20"/>
      </w:rPr>
      <w:t> </w:t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xs="http://www.w3.org/2001/XMLSchema" xmlns:fn="http://www.w3.org/2005/xpath-functions" xmlns:wx="http://schemas.microsoft.com/office/word/2003/2/auxHint" xmlns:xpp="http://www.sdl.com/xpp" mc:Ignorable="w14 wp14" exclude-result-prefixes="xpp xs fn xsl">
  <w:p>
    <w:pPr>
      <w:spacing w:line="240" w:after="0" w:lineRule="auto"/>
      <w:jc w:val="center"/>
      <w:ind w:left="0" w:right="0"/>
    </w:pPr>
    <w:r>
      <w:rPr>
        <w:rFonts w:ascii="Times New Roman" w:hAnsi="Times New Roman" w:cs="Times New Roman"/>
        <w:position w:val="-0"/>
        <w:sz w:val="20"/>
      </w:rPr>
      <w:t> </w:t>
    </w:r>
    <w:r>
      <w:rPr>
        <w:rFonts w:ascii="Times New Roman" w:hAnsi="Times New Roman" w:cs="Times New Roman"/>
        <w:position w:val="-0"/>
        <w:sz w:val="20"/>
      </w:rPr>
      <w:t> 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F8" w:rsidRDefault="009122F8">
      <w:r>
        <w:separator/>
      </w:r>
    </w:p>
  </w:footnote>
  <w:footnote w:type="continuationSeparator" w:id="0">
    <w:p w:rsidR="009122F8" w:rsidRDefault="009122F8"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xs="http://www.w3.org/2001/XMLSchema" xmlns:fn="http://www.w3.org/2005/xpath-functions" xmlns:wx="http://schemas.microsoft.com/office/word/2003/2/auxHint" xmlns:xpp="http://www.sdl.com/xpp" mc:Ignorable="w14 wp14" inherit-namespaces="no"/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xs="http://www.w3.org/2001/XMLSchema" xmlns:fn="http://www.w3.org/2005/xpath-functions" xmlns:wx="http://schemas.microsoft.com/office/word/2003/2/auxHint" xmlns:xpp="http://www.sdl.com/xpp" mc:Ignorable="w14 wp14" inherit-namespaces="no">
  <w:p>
    <w:pPr>
      <w:spacing w:line="240" w:after="0" w:lineRule="auto"/>
      <w:jc w:val="center"/>
      <w:ind w:left="0" w:right="0"/>
    </w:pPr>
    <w:r>
      <w:rPr>
        <w:rFonts w:ascii="Times New Roman" w:hAnsi="Times New Roman" w:cs="Times New Roman"/>
        <w:position w:val="-0"/>
        <w:sz w:val="20"/>
      </w:rPr>
      <w:t> </w:t>
    </w:r>
  </w:p>
  <w:p>
    <w:pPr>
      <w:spacing w:before="40" w:after="0" w:line="240" w:lineRule="auto"/>
      <w:jc w:val="center"/>
      <w:ind w:left="0" w:right="0"/>
    </w:pPr>
    <w:r>
      <w:rPr>
        <w:rFonts w:ascii="Times New Roman" w:hAnsi="Times New Roman" w:cs="Times New Roman"/>
        <w:position w:val="-0"/>
        <w:sz w:val="20"/>
      </w:rPr>
      <w:t> 2014 U.S. App. LEXIS 24251, *4</w:t>
    </w:r>
  </w:p>
</w:hd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6A"/>
    <w:rsid w:val="0073337C"/>
    <w:rsid w:val="00B6416A"/>
    <w:rsid w:val="00D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6A"/>
    <w:rPr>
      <w:rFonts w:ascii="Tahoma" w:hAnsi="Tahoma" w:cs="Tahoma"/>
      <w:sz w:val="16"/>
      <w:szCs w:val="16"/>
    </w:rPr>
  </w:style>
</w:styles>
</file>

<file path=word\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6A"/>
    <w:rPr>
      <w:rFonts w:ascii="Tahoma" w:hAnsi="Tahoma" w:cs="Tahoma"/>
      <w:sz w:val="16"/>
      <w:szCs w:val="16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